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D1B8">
      <w:pPr>
        <w:jc w:val="center"/>
        <w:rPr>
          <w:rFonts w:ascii="Times New Roman" w:hAnsi="Times New Roman" w:cs="Times New Roman"/>
          <w:b/>
          <w:sz w:val="28"/>
        </w:rPr>
      </w:pPr>
    </w:p>
    <w:p w14:paraId="5D750458">
      <w:pPr>
        <w:jc w:val="center"/>
        <w:rPr>
          <w:rFonts w:ascii="Times New Roman" w:hAnsi="Times New Roman" w:cs="Times New Roman"/>
          <w:b/>
          <w:sz w:val="28"/>
        </w:rPr>
      </w:pPr>
    </w:p>
    <w:p w14:paraId="647D2F5A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Библиография и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References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.</w:t>
      </w:r>
    </w:p>
    <w:p w14:paraId="2073AA0A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</w:p>
    <w:p w14:paraId="7DD64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34025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sz w:val="24"/>
          <w:szCs w:val="24"/>
          <w:lang w:val="ru-RU"/>
        </w:rPr>
        <w:t>References – англоязычный список литературы, который идет отдельным блоком, повторяя русскоязычный список литературы.</w:t>
      </w:r>
    </w:p>
    <w:p w14:paraId="57E72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0A409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sz w:val="24"/>
          <w:szCs w:val="24"/>
          <w:lang w:val="ru-RU"/>
        </w:rPr>
        <w:t>В соответствии с положениями ГОСТ Р 7.0.100-2018, а также ответом экспертов</w:t>
      </w:r>
      <w:r>
        <w:rPr>
          <w:rStyle w:val="5"/>
          <w:rFonts w:hint="default" w:ascii="Courier New" w:hAnsi="Courier New" w:eastAsia="SimSun" w:cs="Courier New"/>
          <w:sz w:val="24"/>
          <w:szCs w:val="24"/>
          <w:lang w:val="ru-RU"/>
        </w:rPr>
        <w:footnoteReference w:id="0"/>
      </w:r>
      <w:r>
        <w:rPr>
          <w:rFonts w:hint="default" w:ascii="Courier New" w:hAnsi="Courier New" w:eastAsia="SimSun" w:cs="Courier New"/>
          <w:sz w:val="24"/>
          <w:szCs w:val="24"/>
          <w:lang w:val="ru-RU"/>
        </w:rPr>
        <w:t xml:space="preserve"> в электронной библиографической записи сведения приводятся:</w:t>
      </w:r>
    </w:p>
    <w:p w14:paraId="5C90DA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30CA5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329E8D36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1487BF97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ПРИМЕРЫ:</w:t>
      </w:r>
    </w:p>
    <w:p w14:paraId="6B1D47EF">
      <w:pPr>
        <w:spacing w:after="0" w:line="240" w:lineRule="auto"/>
        <w:jc w:val="both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0A6ACF6A">
      <w:pPr>
        <w:numPr>
          <w:ilvl w:val="0"/>
          <w:numId w:val="1"/>
        </w:numPr>
        <w:spacing w:after="0" w:line="240" w:lineRule="auto"/>
        <w:jc w:val="both"/>
        <w:rPr>
          <w:rFonts w:hint="default" w:ascii="Courier New" w:hAnsi="Courier New" w:eastAsia="Times New Roman" w:cs="Courier New"/>
          <w:b/>
          <w:bCs/>
          <w:sz w:val="24"/>
          <w:szCs w:val="24"/>
          <w:highlight w:val="none"/>
          <w:lang w:val="en-US" w:eastAsia="ru-RU"/>
        </w:rPr>
      </w:pPr>
      <w:r>
        <w:rPr>
          <w:rFonts w:ascii="Courier New" w:hAnsi="Courier New" w:eastAsia="Times New Roman" w:cs="Courier New"/>
          <w:b/>
          <w:bCs/>
          <w:sz w:val="24"/>
          <w:szCs w:val="24"/>
          <w:lang w:eastAsia="ru-RU"/>
        </w:rPr>
        <w:t>Библиография</w:t>
      </w:r>
      <w:r>
        <w:rPr>
          <w:rFonts w:hint="default" w:ascii="Courier New" w:hAnsi="Courier New" w:eastAsia="Times New Roman" w:cs="Courier New"/>
          <w:b/>
          <w:bCs/>
          <w:sz w:val="24"/>
          <w:szCs w:val="24"/>
          <w:lang w:val="en-US" w:eastAsia="ru-RU"/>
        </w:rPr>
        <w:t xml:space="preserve"> в списке не просчитана:</w:t>
      </w:r>
    </w:p>
    <w:p w14:paraId="138ADC48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</w:p>
    <w:p w14:paraId="24ECF280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>320 ##$a</w:t>
      </w:r>
      <w:r>
        <w:rPr>
          <w:rFonts w:hint="default" w:ascii="Courier New" w:hAnsi="Courier New" w:eastAsia="Times New Roman" w:cs="Courier New"/>
          <w:sz w:val="24"/>
          <w:szCs w:val="24"/>
          <w:lang w:val="ru-RU" w:eastAsia="ru-RU"/>
        </w:rPr>
        <w:t>Библиография</w:t>
      </w: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>: с. 102-104 (русская), с. 104-106 (английская)</w:t>
      </w:r>
    </w:p>
    <w:p w14:paraId="61BF5EBF">
      <w:pPr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A5B9B78">
      <w:pPr>
        <w:spacing w:after="0" w:line="240" w:lineRule="auto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132DC490">
      <w:pPr>
        <w:numPr>
          <w:ilvl w:val="0"/>
          <w:numId w:val="1"/>
        </w:numPr>
        <w:spacing w:after="0" w:line="240" w:lineRule="auto"/>
        <w:jc w:val="both"/>
        <w:rPr>
          <w:rFonts w:hint="default" w:ascii="Courier New" w:hAnsi="Courier New" w:eastAsia="Times New Roman" w:cs="Courier New"/>
          <w:b/>
          <w:bCs/>
          <w:sz w:val="24"/>
          <w:szCs w:val="24"/>
          <w:highlight w:val="none"/>
          <w:lang w:val="en-US" w:eastAsia="ru-RU"/>
        </w:rPr>
      </w:pPr>
      <w:r>
        <w:rPr>
          <w:rFonts w:ascii="Courier New" w:hAnsi="Courier New" w:eastAsia="Times New Roman" w:cs="Courier New"/>
          <w:b/>
          <w:bCs/>
          <w:sz w:val="24"/>
          <w:szCs w:val="24"/>
          <w:lang w:eastAsia="ru-RU"/>
        </w:rPr>
        <w:t>Библиография</w:t>
      </w:r>
      <w:r>
        <w:rPr>
          <w:rFonts w:hint="default" w:ascii="Courier New" w:hAnsi="Courier New" w:eastAsia="Times New Roman" w:cs="Courier New"/>
          <w:b/>
          <w:bCs/>
          <w:sz w:val="24"/>
          <w:szCs w:val="24"/>
          <w:lang w:val="en-US" w:eastAsia="ru-RU"/>
        </w:rPr>
        <w:t xml:space="preserve"> в списке просчитана:</w:t>
      </w:r>
    </w:p>
    <w:p w14:paraId="57CC3AF7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</w:p>
    <w:p w14:paraId="4747D21F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>320 ##$a</w:t>
      </w:r>
      <w:r>
        <w:rPr>
          <w:rFonts w:hint="default" w:ascii="Courier New" w:hAnsi="Courier New" w:eastAsia="Times New Roman" w:cs="Courier New"/>
          <w:sz w:val="24"/>
          <w:szCs w:val="24"/>
          <w:lang w:val="ru-RU" w:eastAsia="ru-RU"/>
        </w:rPr>
        <w:t>Библиография</w:t>
      </w: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>: с. 102-104 (80 названий, русская), с. 104-106 (80 названий, английская)</w:t>
      </w:r>
    </w:p>
    <w:p w14:paraId="7FCEC7ED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</w:p>
    <w:p w14:paraId="3BEDE452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</w:p>
    <w:p w14:paraId="485CB641">
      <w:pPr>
        <w:numPr>
          <w:ilvl w:val="0"/>
          <w:numId w:val="1"/>
        </w:numPr>
        <w:spacing w:after="0" w:line="240" w:lineRule="auto"/>
        <w:jc w:val="both"/>
        <w:rPr>
          <w:rFonts w:hint="default" w:ascii="Courier New" w:hAnsi="Courier New" w:eastAsia="Times New Roman" w:cs="Courier New"/>
          <w:b/>
          <w:bCs/>
          <w:sz w:val="24"/>
          <w:szCs w:val="24"/>
          <w:highlight w:val="none"/>
          <w:lang w:val="en-US" w:eastAsia="ru-RU"/>
        </w:rPr>
      </w:pPr>
      <w:r>
        <w:rPr>
          <w:rFonts w:ascii="Courier New" w:hAnsi="Courier New" w:eastAsia="Times New Roman" w:cs="Courier New"/>
          <w:b/>
          <w:bCs/>
          <w:sz w:val="24"/>
          <w:szCs w:val="24"/>
          <w:lang w:eastAsia="ru-RU"/>
        </w:rPr>
        <w:t>Библиография</w:t>
      </w:r>
      <w:r>
        <w:rPr>
          <w:rFonts w:hint="default" w:ascii="Courier New" w:hAnsi="Courier New" w:eastAsia="Times New Roman" w:cs="Courier New"/>
          <w:b/>
          <w:bCs/>
          <w:sz w:val="24"/>
          <w:szCs w:val="24"/>
          <w:lang w:val="en-US" w:eastAsia="ru-RU"/>
        </w:rPr>
        <w:t xml:space="preserve"> в списке не просчитана, оба списка указаны на одной странице</w:t>
      </w:r>
      <w:bookmarkStart w:id="0" w:name="_GoBack"/>
      <w:bookmarkEnd w:id="0"/>
      <w:r>
        <w:rPr>
          <w:rFonts w:hint="default" w:ascii="Courier New" w:hAnsi="Courier New" w:eastAsia="Times New Roman" w:cs="Courier New"/>
          <w:b/>
          <w:bCs/>
          <w:sz w:val="24"/>
          <w:szCs w:val="24"/>
          <w:lang w:val="en-US" w:eastAsia="ru-RU"/>
        </w:rPr>
        <w:t>:</w:t>
      </w:r>
    </w:p>
    <w:p w14:paraId="5E794EC7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</w:p>
    <w:p w14:paraId="25F2A03F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>320 ##$a</w:t>
      </w:r>
      <w:r>
        <w:rPr>
          <w:rFonts w:hint="default" w:ascii="Courier New" w:hAnsi="Courier New" w:eastAsia="Times New Roman" w:cs="Courier New"/>
          <w:sz w:val="24"/>
          <w:szCs w:val="24"/>
          <w:lang w:val="ru-RU" w:eastAsia="ru-RU"/>
        </w:rPr>
        <w:t>Библиография</w:t>
      </w: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>: с. 102 (русская, английская)</w:t>
      </w:r>
    </w:p>
    <w:p w14:paraId="33C2E2D6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</w:p>
    <w:p w14:paraId="6F78D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3BE60F87">
      <w:pPr>
        <w:numPr>
          <w:ilvl w:val="0"/>
          <w:numId w:val="1"/>
        </w:numPr>
        <w:spacing w:after="0" w:line="240" w:lineRule="auto"/>
        <w:jc w:val="both"/>
        <w:rPr>
          <w:rFonts w:hint="default" w:ascii="Courier New" w:hAnsi="Courier New" w:eastAsia="Times New Roman" w:cs="Courier New"/>
          <w:b/>
          <w:bCs/>
          <w:sz w:val="24"/>
          <w:szCs w:val="24"/>
          <w:highlight w:val="none"/>
          <w:lang w:val="en-US" w:eastAsia="ru-RU"/>
        </w:rPr>
      </w:pPr>
      <w:r>
        <w:rPr>
          <w:rFonts w:ascii="Courier New" w:hAnsi="Courier New" w:eastAsia="Times New Roman" w:cs="Courier New"/>
          <w:b/>
          <w:bCs/>
          <w:sz w:val="24"/>
          <w:szCs w:val="24"/>
          <w:lang w:eastAsia="ru-RU"/>
        </w:rPr>
        <w:t>Библиография</w:t>
      </w:r>
      <w:r>
        <w:rPr>
          <w:rFonts w:hint="default" w:ascii="Courier New" w:hAnsi="Courier New" w:eastAsia="Times New Roman" w:cs="Courier New"/>
          <w:b/>
          <w:bCs/>
          <w:sz w:val="24"/>
          <w:szCs w:val="24"/>
          <w:lang w:val="en-US" w:eastAsia="ru-RU"/>
        </w:rPr>
        <w:t xml:space="preserve"> в списке просчитана:</w:t>
      </w:r>
    </w:p>
    <w:p w14:paraId="0973508B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</w:p>
    <w:p w14:paraId="2E45484C">
      <w:pPr>
        <w:numPr>
          <w:ilvl w:val="0"/>
          <w:numId w:val="0"/>
        </w:numPr>
        <w:spacing w:after="0" w:line="240" w:lineRule="auto"/>
        <w:jc w:val="both"/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</w:pP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>320 ##$a</w:t>
      </w:r>
      <w:r>
        <w:rPr>
          <w:rFonts w:hint="default" w:ascii="Courier New" w:hAnsi="Courier New" w:eastAsia="Times New Roman" w:cs="Courier New"/>
          <w:sz w:val="24"/>
          <w:szCs w:val="24"/>
          <w:lang w:val="ru-RU" w:eastAsia="ru-RU"/>
        </w:rPr>
        <w:t>Библиография</w:t>
      </w: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>: с. 102 (15 названий, русская, английская)</w:t>
      </w:r>
    </w:p>
    <w:p w14:paraId="677713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73D4A425">
      <w:pPr>
        <w:pStyle w:val="8"/>
        <w:snapToGrid w:val="0"/>
        <w:rPr>
          <w:rFonts w:hint="default"/>
          <w:lang w:val="ru-RU"/>
        </w:rPr>
      </w:pPr>
      <w:r>
        <w:rPr>
          <w:rStyle w:val="5"/>
        </w:rPr>
        <w:footnoteRef/>
      </w:r>
      <w:r>
        <w:t xml:space="preserve"> </w:t>
      </w:r>
      <w:r>
        <w:rPr>
          <w:lang w:val="ru-RU"/>
        </w:rPr>
        <w:t>Ответ</w:t>
      </w:r>
      <w:r>
        <w:rPr>
          <w:rFonts w:hint="default"/>
          <w:lang w:val="ru-RU"/>
        </w:rPr>
        <w:t xml:space="preserve"> экспертов на форуме Либнет: от 9 ноября 2023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F08B">
    <w:pPr>
      <w:pStyle w:val="9"/>
    </w:pPr>
    <w:r>
      <w:rPr>
        <w:lang w:eastAsia="ru-RU"/>
      </w:rPr>
      <w:pict>
        <v:group id="Группа 196" o:spid="_x0000_s4097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>
          <o:lock v:ext="edit"/>
          <v:rect id="Rectangle 197" o:spid="_x0000_s4098" o:spt="1" style="position:absolute;left:637;top:360;height:720;width:9169;v-text-anchor:middle;" fillcolor="#E36C0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>
            <v:path/>
            <v:fill on="t" focussize="0,0"/>
            <v:stroke on="f"/>
            <v:imagedata o:title=""/>
            <o:lock v:ext="edit"/>
            <v:textbox>
              <w:txbxContent>
                <w:p w14:paraId="0068C534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</w:sdtEndPr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14:paraId="364AD6FC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4099" o:spt="1" style="position:absolute;left:10004;top:360;height:720;width:1732;v-text-anchor:middle;" fillcolor="#9BBB59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>
            <v:path/>
            <v:fill on="t" focussize="0,0"/>
            <v:stroke on="f"/>
            <v:imagedata o:title=""/>
            <o:lock v:ext="edit"/>
            <v:textbox>
              <w:txbxContent>
                <w:p w14:paraId="682EAEC0">
                  <w:pPr>
                    <w:pStyle w:val="9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а</w:t>
                  </w:r>
                  <w:r>
                    <w:rPr>
                      <w:b/>
                      <w:sz w:val="14"/>
                      <w:lang w:val="ru-RU"/>
                    </w:rPr>
                    <w:t>вгуст</w:t>
                  </w:r>
                  <w:r>
                    <w:rPr>
                      <w:b/>
                      <w:sz w:val="14"/>
                    </w:rPr>
                    <w:t xml:space="preserve">, </w:t>
                  </w:r>
                </w:p>
                <w:p w14:paraId="2EFFEB8B">
                  <w:pPr>
                    <w:pStyle w:val="9"/>
                    <w:rPr>
                      <w:rFonts w:hint="default"/>
                      <w:b/>
                      <w:sz w:val="14"/>
                      <w:lang w:val="ru-RU"/>
                    </w:rPr>
                  </w:pPr>
                  <w:r>
                    <w:rPr>
                      <w:b/>
                      <w:sz w:val="14"/>
                    </w:rPr>
                    <w:t>2024, №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 xml:space="preserve"> 4</w:t>
                  </w:r>
                </w:p>
              </w:txbxContent>
            </v:textbox>
          </v:rect>
          <v:rect id="Rectangle 199" o:spid="_x0000_s4100" o:spt="1" style="position:absolute;left:330;top:308;height:835;width:11586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>
            <v:path/>
            <v:fill on="f" focussize="0,0"/>
            <v:stroke weight="1pt"/>
            <v:imagedata o:title=""/>
            <o:lock v:ext="edit"/>
          </v:rect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37882"/>
    <w:multiLevelType w:val="singleLevel"/>
    <w:tmpl w:val="33237882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8146A"/>
    <w:rsid w:val="00085EE8"/>
    <w:rsid w:val="000A5CF1"/>
    <w:rsid w:val="000C1785"/>
    <w:rsid w:val="000C4847"/>
    <w:rsid w:val="000D5971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22673A"/>
    <w:rsid w:val="0023018B"/>
    <w:rsid w:val="00254C97"/>
    <w:rsid w:val="00265DB5"/>
    <w:rsid w:val="00275687"/>
    <w:rsid w:val="00281A14"/>
    <w:rsid w:val="0028753C"/>
    <w:rsid w:val="002C6D9E"/>
    <w:rsid w:val="002D6399"/>
    <w:rsid w:val="002D7642"/>
    <w:rsid w:val="002F1184"/>
    <w:rsid w:val="002F51E2"/>
    <w:rsid w:val="003050BD"/>
    <w:rsid w:val="003120D9"/>
    <w:rsid w:val="00326308"/>
    <w:rsid w:val="003344BE"/>
    <w:rsid w:val="00341B06"/>
    <w:rsid w:val="00341C53"/>
    <w:rsid w:val="003437E6"/>
    <w:rsid w:val="003528D0"/>
    <w:rsid w:val="003D56FD"/>
    <w:rsid w:val="0040581E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E5D4C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A707E"/>
    <w:rsid w:val="006B3007"/>
    <w:rsid w:val="006B45DE"/>
    <w:rsid w:val="006C4789"/>
    <w:rsid w:val="006F4F8D"/>
    <w:rsid w:val="007203AD"/>
    <w:rsid w:val="0073653D"/>
    <w:rsid w:val="007461B6"/>
    <w:rsid w:val="00746821"/>
    <w:rsid w:val="007527A9"/>
    <w:rsid w:val="00773E80"/>
    <w:rsid w:val="00773F60"/>
    <w:rsid w:val="00782A4A"/>
    <w:rsid w:val="007947A3"/>
    <w:rsid w:val="007D7573"/>
    <w:rsid w:val="007F278C"/>
    <w:rsid w:val="007F3863"/>
    <w:rsid w:val="007F4D2A"/>
    <w:rsid w:val="00823B13"/>
    <w:rsid w:val="00827BFE"/>
    <w:rsid w:val="00855B75"/>
    <w:rsid w:val="00880F90"/>
    <w:rsid w:val="00881931"/>
    <w:rsid w:val="00890A51"/>
    <w:rsid w:val="008A7508"/>
    <w:rsid w:val="008B21FA"/>
    <w:rsid w:val="008B5ADA"/>
    <w:rsid w:val="008E0414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3E18"/>
    <w:rsid w:val="009A63E4"/>
    <w:rsid w:val="009C11A5"/>
    <w:rsid w:val="009C2420"/>
    <w:rsid w:val="009C7B49"/>
    <w:rsid w:val="009D06B3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81AB3"/>
    <w:rsid w:val="00B94F69"/>
    <w:rsid w:val="00B9557A"/>
    <w:rsid w:val="00B9782E"/>
    <w:rsid w:val="00BB09E1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463AD"/>
    <w:rsid w:val="00F503D0"/>
    <w:rsid w:val="00F531AC"/>
    <w:rsid w:val="00F67ABD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0464785E"/>
    <w:rsid w:val="177969FE"/>
    <w:rsid w:val="2ADE5363"/>
    <w:rsid w:val="2D6A2D98"/>
    <w:rsid w:val="340B3B7A"/>
    <w:rsid w:val="38E627E6"/>
    <w:rsid w:val="3EFA6ABC"/>
    <w:rsid w:val="3F7C2875"/>
    <w:rsid w:val="41D35C22"/>
    <w:rsid w:val="6F007A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сноски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14">
    <w:name w:val="Верхний колонтитул Знак"/>
    <w:basedOn w:val="3"/>
    <w:link w:val="9"/>
    <w:qFormat/>
    <w:uiPriority w:val="99"/>
  </w:style>
  <w:style w:type="character" w:customStyle="1" w:styleId="15">
    <w:name w:val="Нижний колонтитул Знак"/>
    <w:basedOn w:val="3"/>
    <w:link w:val="10"/>
    <w:qFormat/>
    <w:uiPriority w:val="99"/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jsgrdq"/>
    <w:basedOn w:val="3"/>
    <w:qFormat/>
    <w:uiPriority w:val="0"/>
  </w:style>
  <w:style w:type="paragraph" w:customStyle="1" w:styleId="19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1">
    <w:name w:val="highl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17837-2231-4FDA-BFEE-96D3920CE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2258</Words>
  <Characters>12872</Characters>
  <Lines>107</Lines>
  <Paragraphs>30</Paragraphs>
  <TotalTime>11</TotalTime>
  <ScaleCrop>false</ScaleCrop>
  <LinksUpToDate>false</LinksUpToDate>
  <CharactersWithSpaces>15100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ИвкинаСВ</cp:lastModifiedBy>
  <cp:lastPrinted>2024-08-30T12:03:00Z</cp:lastPrinted>
  <dcterms:modified xsi:type="dcterms:W3CDTF">2024-08-30T12:44:13Z</dcterms:modified>
  <dc:title>МЕТОДИЧЕСКИЕ РЕКОМЕНДАЦИИ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8B60FDD3225546D1B4171095B06BEBCA</vt:lpwstr>
  </property>
</Properties>
</file>